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color w:val="1f1f1f"/>
          <w:sz w:val="32"/>
          <w:szCs w:val="32"/>
          <w:highlight w:val="white"/>
          <w:rtl w:val="0"/>
        </w:rPr>
        <w:t xml:space="preserve">Exploring Undergraduate Students’ Challenges in Online Learning: Insights from the Media and ICT Course</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Hasni Melisa Putri</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Fonts w:ascii="Times New Roman" w:cs="Times New Roman" w:eastAsia="Times New Roman" w:hAnsi="Times New Roman"/>
          <w:b w:val="1"/>
          <w:bCs w:val="1"/>
          <w:rtl w:val="0"/>
        </w:rPr>
        <w:t xml:space="preserve">, Yanuarti Apsari</w:t>
      </w:r>
      <w:r w:rsidDel="00000000" w:rsidR="00000000" w:rsidRPr="00000000">
        <w:rPr>
          <w:rFonts w:ascii="Times New Roman" w:cs="Times New Roman" w:eastAsia="Times New Roman" w:hAnsi="Times New Roman"/>
          <w:b w:val="1"/>
          <w:bCs w:val="1"/>
          <w:vertAlign w:val="superscript"/>
          <w:rtl w:val="0"/>
        </w:rPr>
        <w:t xml:space="preserve">2</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IKIP Siliwangi, Indonesia</w:t>
      </w:r>
    </w:p>
    <w:p w:rsidR="00000000" w:rsidDel="00000000" w:rsidP="00000000" w:rsidRDefault="00000000" w:rsidRPr="00000000" w14:paraId="000000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w:t>
      </w:r>
      <w:hyperlink r:id="rId7">
        <w:r w:rsidDel="00000000" w:rsidR="00000000" w:rsidRPr="00000000">
          <w:rPr>
            <w:rFonts w:ascii="Times New Roman" w:cs="Times New Roman" w:eastAsia="Times New Roman" w:hAnsi="Times New Roman"/>
            <w:color w:val="1155cc"/>
            <w:u w:val="single"/>
            <w:rtl w:val="0"/>
          </w:rPr>
          <w:t xml:space="preserve">hasni6814@gmail.com</w:t>
        </w:r>
      </w:hyperlink>
      <w:r w:rsidDel="00000000" w:rsidR="00000000" w:rsidRPr="00000000">
        <w:rPr>
          <w:rFonts w:ascii="Times New Roman" w:cs="Times New Roman" w:eastAsia="Times New Roman" w:hAnsi="Times New Roman"/>
          <w:rtl w:val="0"/>
        </w:rPr>
        <w:t xml:space="preserve">, </w:t>
      </w:r>
      <w:hyperlink r:id="rId8">
        <w:r w:rsidDel="00000000" w:rsidR="00000000" w:rsidRPr="00000000">
          <w:rPr>
            <w:rFonts w:ascii="Times New Roman" w:cs="Times New Roman" w:eastAsia="Times New Roman" w:hAnsi="Times New Roman"/>
            <w:color w:val="1155cc"/>
            <w:u w:val="single"/>
            <w:vertAlign w:val="superscript"/>
            <w:rtl w:val="0"/>
          </w:rPr>
          <w:t xml:space="preserve">2</w:t>
        </w:r>
      </w:hyperlink>
      <w:hyperlink r:id="rId9">
        <w:r w:rsidDel="00000000" w:rsidR="00000000" w:rsidRPr="00000000">
          <w:rPr>
            <w:rFonts w:ascii="Times New Roman" w:cs="Times New Roman" w:eastAsia="Times New Roman" w:hAnsi="Times New Roman"/>
            <w:color w:val="1155cc"/>
            <w:u w:val="single"/>
            <w:rtl w:val="0"/>
          </w:rPr>
          <w:t xml:space="preserve">yanuarti@ikipsiliwangi.ac.id</w:t>
        </w:r>
      </w:hyperlink>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A">
      <w:pPr>
        <w:tabs>
          <w:tab w:val="left" w:leader="none" w:pos="0"/>
        </w:tabs>
        <w:spacing w:after="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The development of Technological Pedagogical Content Knowledge (TPACK) is vital for pre-service teachers, yet delivering practice-based technology courses virtually presents unexpected obstacles. This study investigates undergraduate English Education students’ challenges and coping mechanisms within the mandatory “Media and ICT” course during online learning. Using a descriptive quantitative research design, a structured questionnaire was distributed to 12 undergraduate students with direct curriculum exposure. The empirical findings reveal that online instruction is heavily bottlenecked by structural and social barriers. Specifically, 83.3% of respondents were severely impeded by unstable internet connections, 83.4% struggled with unclear software demonstrations from lecturers, and 91.7% found digital group work highly challenging. These findings mirror broader regional observations where virtual learning environments frequently diminish student motivation and trigger structural academic isolation. To navigate these hurdles, 83.3% of the students deployed reactive coping strategies, leveraging external peer-to-peer networks and independent resource gathering. Ultimately, this study indicates that synchronous virtual delivery is structurally inadequate for high stakes, practical media application training. To bridge this divide, teacher training institutions should transition toward asynchronous, step by step video tutorials to help students safely build pedagogical teaching confidence.</w:t>
      </w:r>
    </w:p>
    <w:p w:rsidR="00000000" w:rsidDel="00000000" w:rsidP="00000000" w:rsidRDefault="00000000" w:rsidRPr="00000000" w14:paraId="0000000B">
      <w:pPr>
        <w:tabs>
          <w:tab w:val="left" w:leader="none" w:pos="0"/>
        </w:tabs>
        <w:spacing w:after="0" w:line="240" w:lineRule="auto"/>
        <w:jc w:val="both"/>
        <w:rPr>
          <w:rFonts w:ascii="Times New Roman" w:cs="Times New Roman" w:eastAsia="Times New Roman" w:hAnsi="Times New Roman"/>
          <w:color w:val="111111"/>
          <w:sz w:val="24"/>
          <w:szCs w:val="24"/>
        </w:rPr>
      </w:pPr>
      <w:r w:rsidDel="00000000" w:rsidR="00000000" w:rsidRPr="00000000">
        <w:rPr>
          <w:rtl w:val="0"/>
        </w:rPr>
      </w:r>
    </w:p>
    <w:p w:rsidR="00000000" w:rsidDel="00000000" w:rsidP="00000000" w:rsidRDefault="00000000" w:rsidRPr="00000000" w14:paraId="0000000C">
      <w:pPr>
        <w:tabs>
          <w:tab w:val="left" w:leader="none" w:pos="0"/>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rtl w:val="0"/>
        </w:rPr>
        <w:t xml:space="preserve">Online Learning, Media and ICT, Undergraduate Students, Technical Challenges, Pre-service Teachers.</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Technology’s evolution has significantly reshaped higher education, particularly in how university teaching and learning unfold. For those in English Education Study Programs, the expectation extends beyond English proficiency to encompass the adept use of media and information technology in pedagogical practices. Consequently, the Media and ICT course is crucial, equipping students with the skills to design engaging, impactful, and interactive educational experiences.</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students encounter various challenges while studying Media and ICT courses. Some may struggle with limited internet access or insufficient devices, while others experience technical difficulties during their online classes. Additionally, some students might find themselves unsure about how to navigate specific applications or digital tools effectively. Moreover, the nature of online learning can sometimes hinder direct interaction between instructors and students, making it harder to ask questions or get immediate support. These obstacles can significantly impact  students’ understanding, motivation, and overall engagement in their learning journey.</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overcome these obstacles, teacher training programs need to offer focused instruction that centers on how educators actually implement Technological Pedagogical Content Knowledge (TPACK) in real-world classrooms (Darsih et al., 2025). By bridging the gap between theory and practice, educators can enhance technology integration and improve student learning experiences. Enhancing TPACK through practical training can empower pre-service teachers to effectively utilize technology, thereby fostering a more engaging and productive learning environment for their students. This strategy mirrors previous research highlighting that pre-service teachers require both ongoing mentorship and adequate resources to successfully integrate technology into their teaching (Darsih et al., 2024).</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Martin et al. (2022) also suggest that to meet digital-age demands, teacher education must evolve internationally, shifting away from treating technology as a simple utility and classrooms as the sole educational environment. Such an approach should include education with the media and education </w:t>
      </w:r>
      <w:r w:rsidDel="00000000" w:rsidR="00000000" w:rsidRPr="00000000">
        <w:rPr>
          <w:rFonts w:ascii="Times New Roman" w:cs="Times New Roman" w:eastAsia="Times New Roman" w:hAnsi="Times New Roman"/>
          <w:i w:val="1"/>
          <w:iCs w:val="1"/>
          <w:sz w:val="24"/>
          <w:szCs w:val="24"/>
          <w:rtl w:val="0"/>
        </w:rPr>
        <w:t xml:space="preserve">on</w:t>
      </w:r>
      <w:r w:rsidDel="00000000" w:rsidR="00000000" w:rsidRPr="00000000">
        <w:rPr>
          <w:rFonts w:ascii="Times New Roman" w:cs="Times New Roman" w:eastAsia="Times New Roman" w:hAnsi="Times New Roman"/>
          <w:sz w:val="24"/>
          <w:szCs w:val="24"/>
          <w:rtl w:val="0"/>
        </w:rPr>
        <w:t xml:space="preserve"> media. It must integrate educational technology and media education in class, virtual, and hybrid environments. It must be comprehensive, covering all media-related competencies, ICT, media education, and digital literacy.</w:t>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Ryanto et al. (2025) note that there is a distinct shortage of research exploring how students actually perceive the specific types of learning media that help them manage their academic struggles. It is important to examine in depth how students view learning media as a means to overcome these difficulties, as each student has a unique learning style. Therefore, the use of teachers’ learning media can accommodate a wide variety of students' learning styles. Therefore, this study aims to find out students’ perceptions of effective learning media that can help them overcome learning difficulties.</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r w:rsidDel="00000000" w:rsidR="00000000" w:rsidRPr="00000000">
        <w:rPr>
          <w:rtl w:val="0"/>
        </w:rPr>
      </w:r>
    </w:p>
    <w:p w:rsidR="00000000" w:rsidDel="00000000" w:rsidP="00000000" w:rsidRDefault="00000000" w:rsidRPr="00000000" w14:paraId="0000001D">
      <w:pPr>
        <w:tabs>
          <w:tab w:val="left" w:leader="none" w:pos="567"/>
        </w:tabs>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sz w:val="24"/>
          <w:szCs w:val="24"/>
          <w:rtl w:val="0"/>
        </w:rPr>
        <w:t xml:space="preserve">data was analyzed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using descriptive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quantitative methods to investigate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online learning challenges faced by under</w:t>
      </w:r>
      <w:r w:rsidDel="00000000" w:rsidR="00000000" w:rsidRPr="00000000">
        <w:rPr>
          <w:rFonts w:ascii="Times New Roman" w:cs="Times New Roman" w:eastAsia="Times New Roman" w:hAnsi="Times New Roman"/>
          <w:sz w:val="24"/>
          <w:szCs w:val="24"/>
          <w:rtl w:val="0"/>
        </w:rPr>
        <w:t xml:space="preserve">graduate students enrolled in the Media and ICT course. This method is appropriate because it allows for a systematic and structured exploration of students’ perceptions and difficulties regarding technology integration and learning media.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Research Design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was conducted within the English Education Study Program at IKIP Siliwangi, specifically focusing on the “Media and ICT” course. This course aims to equip pre-service teachers with the necessary skills to design engaging, impactful, and interactive educational environments by bridging the gap between theory and practical Technological Pedagogical Content Knowledge (TPACK).</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Participants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target population for this study consisted of undergraduate students at 4th and 2nd semester, who had completed or were currently enrolled in the Media and ICT course.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Research Instrument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were collected primarily through a structured, close-ended questionnaire. The questionnaire items were developed and adapted based on the core challenges identified in the literature, focusing on the following dimensions: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Technological and internet-related challenges.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Learning and instructional challenges.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 engagement and interaction challenges.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Coping strategies.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instrument utilized a 4 point Likert scale ranging from 1 (Strongly Disagree) to 4 (Strongly Agree) to measure the intensity of the students’ agreement regarding their challenges and perceptions.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Collection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questionnaire was designed using an online survey platform (Google Forms) and shared with the participants via WhatsApp groups.</w:t>
      </w:r>
    </w:p>
    <w:p w:rsidR="00000000" w:rsidDel="00000000" w:rsidP="00000000" w:rsidRDefault="00000000" w:rsidRPr="00000000" w14:paraId="00000030">
      <w:pPr>
        <w:spacing w:after="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RESULTS AND DISCUSSION</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presents the data gathered from 12 undergraduate students regarding their challenges and coping strategies in the Media and ICT course during online learning. The findings are broken down into four distinct structural categories.</w:t>
      </w:r>
    </w:p>
    <w:p w:rsidR="00000000" w:rsidDel="00000000" w:rsidP="00000000" w:rsidRDefault="00000000" w:rsidRPr="00000000" w14:paraId="0000003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Category A. </w:t>
      </w:r>
      <w:r w:rsidDel="00000000" w:rsidR="00000000" w:rsidRPr="00000000">
        <w:rPr>
          <w:rFonts w:ascii="Times New Roman" w:cs="Times New Roman" w:eastAsia="Times New Roman" w:hAnsi="Times New Roman"/>
          <w:sz w:val="24"/>
          <w:szCs w:val="24"/>
          <w:rtl w:val="0"/>
        </w:rPr>
        <w:t xml:space="preserve">Technological and Internet-Related Challenges</w:t>
      </w:r>
      <w:r w:rsidDel="00000000" w:rsidR="00000000" w:rsidRPr="00000000">
        <w:rPr>
          <w:rtl w:val="0"/>
        </w:rPr>
      </w:r>
    </w:p>
    <w:tbl>
      <w:tblPr>
        <w:tblStyle w:val="Table1"/>
        <w:tblW w:w="907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2430"/>
        <w:gridCol w:w="1517.75"/>
        <w:gridCol w:w="1517.75"/>
        <w:gridCol w:w="1517.75"/>
        <w:gridCol w:w="1517.75"/>
        <w:tblGridChange w:id="0">
          <w:tblGrid>
            <w:gridCol w:w="570"/>
            <w:gridCol w:w="2430"/>
            <w:gridCol w:w="1517.75"/>
            <w:gridCol w:w="1517.75"/>
            <w:gridCol w:w="1517.75"/>
            <w:gridCol w:w="151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Item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often experience unstable internet connections during online classes.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(83,3%)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Internet problems make it difficult for me to participate actively in online learning activities.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(83,3%)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experience technical issues when using online learning platforms.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(66,7%)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My device (laptop, smartphone, or tablet) does not always support online learning activities effectively.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have difficulty accessing learning materials due to technical problems.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r>
    </w:tbl>
    <w:p w:rsidR="00000000" w:rsidDel="00000000" w:rsidP="00000000" w:rsidRDefault="00000000" w:rsidRPr="00000000" w14:paraId="0000005D">
      <w:pPr>
        <w:spacing w:after="0" w:line="240" w:lineRule="auto"/>
        <w:ind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reveals that 83.3% of students strongly agreed that unstable internet connections are a frequent obstacle, directly hindering active participation. Furthermore, combined 83.4% (Agree and Strongly Agree) faced platform-related technical issues and struggled to access course materials.</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Category B: Learning and Instructional Challenges</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Instructional hurdles specifically relate to content comprehension and lecture management within the virtual environment.</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907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2430"/>
        <w:gridCol w:w="1517.75"/>
        <w:gridCol w:w="1517.75"/>
        <w:gridCol w:w="1517.75"/>
        <w:gridCol w:w="1517.75"/>
        <w:tblGridChange w:id="0">
          <w:tblGrid>
            <w:gridCol w:w="570"/>
            <w:gridCol w:w="2430"/>
            <w:gridCol w:w="1517.75"/>
            <w:gridCol w:w="1517.75"/>
            <w:gridCol w:w="1517.75"/>
            <w:gridCol w:w="151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Item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find it difficult to understand Media and ICT concepts through online learning.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(41,7%)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Online explanations from lecturers are sometimes unclear.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(41,7%)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(41,7%)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have difficulty following practical activities or demonstrations conducted online.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find it difficult to stay focused during online classes.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The amount of coursework and assignments is challenging to manage.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rFonts w:ascii="Times New Roman" w:cs="Times New Roman" w:eastAsia="Times New Roman" w:hAnsi="Times New Roman"/>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I have difficulty asking questions or seeking clarification during online classes.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(41,7%)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rPr>
                <w:rFonts w:ascii="Times New Roman" w:cs="Times New Roman" w:eastAsia="Times New Roman" w:hAnsi="Times New Roman"/>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I receive limited feedback on my assignments and learning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r>
    </w:tbl>
    <w:p w:rsidR="00000000" w:rsidDel="00000000" w:rsidP="00000000" w:rsidRDefault="00000000" w:rsidRPr="00000000" w14:paraId="00000093">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observations from this dataset highlight that 100% of the students found the workload challenging to manage (75% agree, 25% strongly agree). Additionally, 83.4% noted that online lecturer explanations can be unclear, and 83.3% experienced difficulties maintaining focus.</w:t>
      </w:r>
    </w:p>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Category C: Student Engagement and Interaction Challenges</w:t>
      </w:r>
    </w:p>
    <w:p w:rsidR="00000000" w:rsidDel="00000000" w:rsidP="00000000" w:rsidRDefault="00000000" w:rsidRPr="00000000" w14:paraId="000000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social dynamics and psychological elements of virtual classes show profound levels of students' isolation and disengagement.</w:t>
      </w:r>
    </w:p>
    <w:p w:rsidR="00000000" w:rsidDel="00000000" w:rsidP="00000000" w:rsidRDefault="00000000" w:rsidRPr="00000000" w14:paraId="00000098">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907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2430"/>
        <w:gridCol w:w="1517.75"/>
        <w:gridCol w:w="1517.75"/>
        <w:gridCol w:w="1517.75"/>
        <w:gridCol w:w="1517.75"/>
        <w:tblGridChange w:id="0">
          <w:tblGrid>
            <w:gridCol w:w="570"/>
            <w:gridCol w:w="2430"/>
            <w:gridCol w:w="1517.75"/>
            <w:gridCol w:w="1517.75"/>
            <w:gridCol w:w="1517.75"/>
            <w:gridCol w:w="151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Item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participate less actively in online classes than in face-to-face classes.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experience limited interaction with my classmates during online learning.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Group work is more difficult to complete in an environment.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feel less motivated when learning online.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sometimes feel isolated during online learning activities.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(75%)</w:t>
            </w:r>
          </w:p>
        </w:tc>
      </w:tr>
    </w:tbl>
    <w:p w:rsidR="00000000" w:rsidDel="00000000" w:rsidP="00000000" w:rsidRDefault="00000000" w:rsidRPr="00000000" w14:paraId="000000BD">
      <w:pPr>
        <w:spacing w:after="0"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91.7% of students found group work more difficult online, while 75% strongly agreed that they felt less motivated and emotionally isolated during online learning.</w:t>
      </w:r>
    </w:p>
    <w:p w:rsidR="00000000" w:rsidDel="00000000" w:rsidP="00000000" w:rsidRDefault="00000000" w:rsidRPr="00000000" w14:paraId="000000B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Category D: Coping Strategies</w:t>
      </w:r>
    </w:p>
    <w:p w:rsidR="00000000" w:rsidDel="00000000" w:rsidP="00000000" w:rsidRDefault="00000000" w:rsidRPr="00000000" w14:paraId="000000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employed varied personal strategies to address the structural issues they encountered.</w:t>
      </w:r>
    </w:p>
    <w:p w:rsidR="00000000" w:rsidDel="00000000" w:rsidP="00000000" w:rsidRDefault="00000000" w:rsidRPr="00000000" w14:paraId="000000C2">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907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2430"/>
        <w:gridCol w:w="1517.75"/>
        <w:gridCol w:w="1517.75"/>
        <w:gridCol w:w="1517.75"/>
        <w:gridCol w:w="1517.75"/>
        <w:tblGridChange w:id="0">
          <w:tblGrid>
            <w:gridCol w:w="570"/>
            <w:gridCol w:w="2430"/>
            <w:gridCol w:w="1517.75"/>
            <w:gridCol w:w="1517.75"/>
            <w:gridCol w:w="1517.75"/>
            <w:gridCol w:w="151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Item 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look for additional learning resources when I encounter difficulties in the course.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communicate with classmates or lecturers to solve learning problems.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(58,3%)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f1f1f"/>
                <w:sz w:val="24"/>
                <w:szCs w:val="24"/>
                <w:highlight w:val="white"/>
                <w:rtl w:val="0"/>
              </w:rPr>
              <w:t xml:space="preserve">I manage my study schedule to overcome challenges in online learning.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(16,7%)</w:t>
            </w:r>
          </w:p>
        </w:tc>
      </w:tr>
    </w:tbl>
    <w:p w:rsidR="00000000" w:rsidDel="00000000" w:rsidP="00000000" w:rsidRDefault="00000000" w:rsidRPr="00000000" w14:paraId="000000DB">
      <w:pPr>
        <w:spacing w:after="0" w:line="240" w:lineRule="auto"/>
        <w:ind w:firstLine="72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*Note: Item 2 represents the consolidated responses of the repeated interaction statements presented in the survey platform graph.</w:t>
      </w:r>
    </w:p>
    <w:p w:rsidR="00000000" w:rsidDel="00000000" w:rsidP="00000000" w:rsidRDefault="00000000" w:rsidRPr="00000000" w14:paraId="000000DC">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Active communication serves as a key remedy, with 83.3% of respondents agreeing or strongly agreeing that they reach out to peers or instructors to navigate academic hurdles.</w:t>
      </w:r>
    </w:p>
    <w:p w:rsidR="00000000" w:rsidDel="00000000" w:rsidP="00000000" w:rsidRDefault="00000000" w:rsidRPr="00000000" w14:paraId="000000DD">
      <w:pPr>
        <w:spacing w:after="0" w:line="240" w:lineRule="auto"/>
        <w:ind w:left="0" w:firstLine="0"/>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E">
      <w:pPr>
        <w:spacing w:after="0" w:line="240" w:lineRule="auto"/>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Discussion</w:t>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empirical findings from this study shed light on the multi-layered bottlenecks undergraduate English Education students experience in a specialized technology curriculum. Nurhidayat et al. (2024) explained that to ensure effective technology integration in EFL contexts, teacher education programs must dynamically adapt to evolving digital trends. Training instructors in modern digital tools not only enhances classroom interactivity and collaborative practices but also optimizes feedback mechanisms and student tracking. Professional standards dictate that instructors systematically update their specialized knowledge domain to stay aligned with contemporary educational practices (Tatto, 2021).</w:t>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introduction highlighted that teacher education programs must cultivate Technological Pedagogical Content Knowledge (TPACK) among pre-service teachers. According to Chaudhary &amp; Chaudhary (2022), the physical separation inherent in virtual environments frequently acts as a deterrent to collaborative peer learning habits. This dampening effect of physical distance is clearly reflected in the empirical data of this study. Specifically, 58.3% of the undergraduates strongly agreed that they experienced highly limited interactions with their classmates during online learning. However, our results demonstrate a sharp disconnect between this instructional goal and infrastructural realities. With 83.3% of students crippled by poor internet connections and over 75% limited by hardware specifications, implementing practical TPACK training becomes highly compromised. If students cannot run heavy ICT applications or reliably access learning modules due to tech drops, their capacity to build digital teaching assets diminishes significantly.</w:t>
      </w:r>
    </w:p>
    <w:p w:rsidR="00000000" w:rsidDel="00000000" w:rsidP="00000000" w:rsidRDefault="00000000" w:rsidRPr="00000000" w14:paraId="000000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 &amp; Venketsamy (2022) emphasize that prior familiarity with a learning environment or its tools significantly builds students’ self-assurance when transitioning into actual practice. In a specialized curriculum like the Media and ICT course, this confidence is crucial for mastering new software. However, the findings of this study reveal a stark contrast to this ideal condition.</w:t>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the sudden shift to online delivery, a combined 75% of the undergraduate students reported difficulty following online practical activities or tool demonstrations, and 83.4% noted that lecturer explanations were often unclear. Because students are unable to establish a solid familiarity with these digital tools, their confidence is severely undermined. This lack of situational familiarity directly manifests in their focus and drive, with 58.3% of respondents strongly agreeing that they find it difficult to stay focused during online classes and 75% strongly agreeing that they feel a drop in learning motivation. Effectively, without the environment familiarity championed by Hu et al. (2022), practical learning becomes an overwhelming source of student frustration rather than a confidence-building experience.</w:t>
      </w:r>
    </w:p>
    <w:p w:rsidR="00000000" w:rsidDel="00000000" w:rsidP="00000000" w:rsidRDefault="00000000" w:rsidRPr="00000000" w14:paraId="000000E8">
      <w:pPr>
        <w:spacing w:after="0" w:line="240" w:lineRule="auto"/>
        <w:jc w:val="both"/>
        <w:rPr>
          <w:rFonts w:ascii="Times New Roman" w:cs="Times New Roman" w:eastAsia="Times New Roman" w:hAnsi="Times New Roman"/>
          <w:b w:val="1"/>
          <w:bCs w:val="1"/>
          <w:smallCaps w:val="1"/>
          <w:sz w:val="20"/>
          <w:szCs w:val="20"/>
        </w:rPr>
      </w:pPr>
      <w:r w:rsidDel="00000000" w:rsidR="00000000" w:rsidRPr="00000000">
        <w:rPr>
          <w:rtl w:val="0"/>
        </w:rPr>
      </w:r>
    </w:p>
    <w:p w:rsidR="00000000" w:rsidDel="00000000" w:rsidP="00000000" w:rsidRDefault="00000000" w:rsidRPr="00000000" w14:paraId="000000E9">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EA">
      <w:pPr>
        <w:spacing w:after="0" w:line="240" w:lineRule="auto"/>
        <w:jc w:val="both"/>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sz w:val="24"/>
          <w:szCs w:val="24"/>
          <w:rtl w:val="0"/>
        </w:rPr>
        <w:t xml:space="preserve">CONCLUSION</w:t>
      </w:r>
      <w:r w:rsidDel="00000000" w:rsidR="00000000" w:rsidRPr="00000000">
        <w:rPr>
          <w:rtl w:val="0"/>
        </w:rPr>
      </w:r>
    </w:p>
    <w:p w:rsidR="00000000" w:rsidDel="00000000" w:rsidP="00000000" w:rsidRDefault="00000000" w:rsidRPr="00000000" w14:paraId="000000EB">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study investigated the multi-faceted challenges faced by undergraduate English Education students in the Media and ICT course during online learning, alongside the coping mechanisms they deployed. The empirical findings reveal that while the curriculum aims to build critical Technological Pedagogical Content Knowledge (TPACK) for pre-service teachers. Severe internet instability (83.3%) and hardware limitations directly impede students’ ability to run demanding ICT software and actively participate in virtual sessions.</w:t>
      </w:r>
    </w:p>
    <w:p w:rsidR="00000000" w:rsidDel="00000000" w:rsidP="00000000" w:rsidRDefault="00000000" w:rsidRPr="00000000" w14:paraId="000000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significant lack of clarity in online practical demonstrations (75%) combined with physical distance drastically diminishes student focus (58.3%) and learning motivation (75%). The physical separation completely disrupts peer-learning habits, making group work highly challenging (91.7%) and cultivating a deep sense of isolation (75%). Students actively shift toward independent resource gathering and peer-to-peer digital communication networks (83.3%) to compensate for the lack of immediate, live instructional feedback.</w:t>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conclusion is that standard synchronous online lecturers are structurally inadequate for high-stakes, practical technology courses like Media and ICT. When students lack environmental and tool familiarity, their confidence in applying these tools practically collapses. To bridge this gap, teacher training programs must transition toward a structured hybrid or asynchronous model. Instructors should complement live sessions with pre-recorded, step by step video tutorials. This allows pre-service teachers to bypass live connectivity drops, troubleshoot software errors at their own pace, and re-establish the confidence necessary to integrate technology effectively into their future classrooms.</w:t>
      </w:r>
    </w:p>
    <w:p w:rsidR="00000000" w:rsidDel="00000000" w:rsidP="00000000" w:rsidRDefault="00000000" w:rsidRPr="00000000" w14:paraId="000000F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40" w:lineRule="auto"/>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F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4">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Darsih, E., Agustiana, V., Hanggara, A., Palmer, R. (2025). </w:t>
      </w:r>
      <w:r w:rsidDel="00000000" w:rsidR="00000000" w:rsidRPr="00000000">
        <w:rPr>
          <w:rFonts w:ascii="Times New Roman" w:cs="Times New Roman" w:eastAsia="Times New Roman" w:hAnsi="Times New Roman"/>
          <w:i w:val="1"/>
          <w:iCs w:val="1"/>
          <w:sz w:val="24"/>
          <w:szCs w:val="24"/>
          <w:rtl w:val="0"/>
        </w:rPr>
        <w:t xml:space="preserve">Insights on TPACK Implementation by Preservice English Teachers: Challenges and Solutions.</w:t>
      </w:r>
      <w:r w:rsidDel="00000000" w:rsidR="00000000" w:rsidRPr="00000000">
        <w:rPr>
          <w:rFonts w:ascii="Times New Roman" w:cs="Times New Roman" w:eastAsia="Times New Roman" w:hAnsi="Times New Roman"/>
          <w:sz w:val="24"/>
          <w:szCs w:val="24"/>
          <w:rtl w:val="0"/>
        </w:rPr>
        <w:t xml:space="preserve"> 68–93. </w:t>
      </w:r>
      <w:hyperlink r:id="rId10">
        <w:r w:rsidDel="00000000" w:rsidR="00000000" w:rsidRPr="00000000">
          <w:rPr>
            <w:rFonts w:ascii="Times New Roman" w:cs="Times New Roman" w:eastAsia="Times New Roman" w:hAnsi="Times New Roman"/>
            <w:color w:val="1155cc"/>
            <w:sz w:val="24"/>
            <w:szCs w:val="24"/>
            <w:u w:val="single"/>
            <w:rtl w:val="0"/>
          </w:rPr>
          <w:t xml:space="preserve">https://doi.org/10.24903/sj.v10i1.2000</w:t>
        </w:r>
      </w:hyperlink>
      <w:r w:rsidDel="00000000" w:rsidR="00000000" w:rsidRPr="00000000">
        <w:rPr>
          <w:rtl w:val="0"/>
        </w:rPr>
      </w:r>
    </w:p>
    <w:p w:rsidR="00000000" w:rsidDel="00000000" w:rsidP="00000000" w:rsidRDefault="00000000" w:rsidRPr="00000000" w14:paraId="000000F5">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Darsih, E., Agustiana, V., Rahmatunisa, W., Hanggara, A. (2024). </w:t>
      </w:r>
      <w:r w:rsidDel="00000000" w:rsidR="00000000" w:rsidRPr="00000000">
        <w:rPr>
          <w:rFonts w:ascii="Times New Roman" w:cs="Times New Roman" w:eastAsia="Times New Roman" w:hAnsi="Times New Roman"/>
          <w:i w:val="1"/>
          <w:iCs w:val="1"/>
          <w:sz w:val="24"/>
          <w:szCs w:val="24"/>
          <w:rtl w:val="0"/>
        </w:rPr>
        <w:t xml:space="preserve">Factors Affecting Preservice English Teachers’ Technological Pedagogical Content Knowledge (TPACK).</w:t>
      </w:r>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color w:val="1155cc"/>
            <w:sz w:val="24"/>
            <w:szCs w:val="24"/>
            <w:u w:val="single"/>
            <w:rtl w:val="0"/>
          </w:rPr>
          <w:t xml:space="preserve">https://doi.org/10.25134/ijli.v7i2.10943</w:t>
        </w:r>
      </w:hyperlink>
      <w:r w:rsidDel="00000000" w:rsidR="00000000" w:rsidRPr="00000000">
        <w:rPr>
          <w:rtl w:val="0"/>
        </w:rPr>
      </w:r>
    </w:p>
    <w:p w:rsidR="00000000" w:rsidDel="00000000" w:rsidP="00000000" w:rsidRDefault="00000000" w:rsidRPr="00000000" w14:paraId="000000F7">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24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Gutiérrez-Martín, A., Pinedo-González, R., &amp; Gil-Puente, C. (2022). </w:t>
      </w:r>
      <w:r w:rsidDel="00000000" w:rsidR="00000000" w:rsidRPr="00000000">
        <w:rPr>
          <w:rFonts w:ascii="Times New Roman" w:cs="Times New Roman" w:eastAsia="Times New Roman" w:hAnsi="Times New Roman"/>
          <w:i w:val="1"/>
          <w:iCs w:val="1"/>
          <w:sz w:val="24"/>
          <w:szCs w:val="24"/>
          <w:rtl w:val="0"/>
        </w:rPr>
        <w:t xml:space="preserve">ICT and Media Competencies of Teachers. Convergence towards an Integrated MIL-ICT Model.</w:t>
      </w:r>
      <w:r w:rsidDel="00000000" w:rsidR="00000000" w:rsidRPr="00000000">
        <w:rPr>
          <w:rFonts w:ascii="Times New Roman" w:cs="Times New Roman" w:eastAsia="Times New Roman" w:hAnsi="Times New Roman"/>
          <w:sz w:val="24"/>
          <w:szCs w:val="24"/>
          <w:rtl w:val="0"/>
        </w:rPr>
        <w:t xml:space="preserve"> Comunicar: Media Education Research Journal, 30(70), 19-30. </w:t>
      </w:r>
      <w:hyperlink r:id="rId12">
        <w:r w:rsidDel="00000000" w:rsidR="00000000" w:rsidRPr="00000000">
          <w:rPr>
            <w:rFonts w:ascii="Times New Roman" w:cs="Times New Roman" w:eastAsia="Times New Roman" w:hAnsi="Times New Roman"/>
            <w:color w:val="1155cc"/>
            <w:sz w:val="24"/>
            <w:szCs w:val="24"/>
            <w:u w:val="single"/>
            <w:rtl w:val="0"/>
          </w:rPr>
          <w:t xml:space="preserve">https://share.google/GQRZWBuhqwrlqlVGX</w:t>
        </w:r>
      </w:hyperlink>
      <w:r w:rsidDel="00000000" w:rsidR="00000000" w:rsidRPr="00000000">
        <w:rPr>
          <w:rtl w:val="0"/>
        </w:rPr>
      </w:r>
    </w:p>
    <w:p w:rsidR="00000000" w:rsidDel="00000000" w:rsidP="00000000" w:rsidRDefault="00000000" w:rsidRPr="00000000" w14:paraId="000000F9">
      <w:pPr>
        <w:spacing w:after="0" w:line="240" w:lineRule="auto"/>
        <w:ind w:left="7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A">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Ryanto, R., Wijayanti, A. T., Widiastuti, A., &amp; Riadi, A. (2025). </w:t>
      </w:r>
      <w:r w:rsidDel="00000000" w:rsidR="00000000" w:rsidRPr="00000000">
        <w:rPr>
          <w:rFonts w:ascii="Times New Roman" w:cs="Times New Roman" w:eastAsia="Times New Roman" w:hAnsi="Times New Roman"/>
          <w:i w:val="1"/>
          <w:iCs w:val="1"/>
          <w:sz w:val="24"/>
          <w:szCs w:val="24"/>
          <w:rtl w:val="0"/>
        </w:rPr>
        <w:t xml:space="preserve">The Effectiveness of Learning Media in Overcoming Learning Difficulties: Student Perceptions.</w:t>
      </w:r>
      <w:r w:rsidDel="00000000" w:rsidR="00000000" w:rsidRPr="00000000">
        <w:rPr>
          <w:rFonts w:ascii="Times New Roman" w:cs="Times New Roman" w:eastAsia="Times New Roman" w:hAnsi="Times New Roman"/>
          <w:sz w:val="24"/>
          <w:szCs w:val="24"/>
          <w:rtl w:val="0"/>
        </w:rPr>
        <w:t xml:space="preserve"> Jurnal Pemberdayaan Masyarakat, 4(1), 169-182. </w:t>
      </w:r>
      <w:hyperlink r:id="rId13">
        <w:r w:rsidDel="00000000" w:rsidR="00000000" w:rsidRPr="00000000">
          <w:rPr>
            <w:rFonts w:ascii="Times New Roman" w:cs="Times New Roman" w:eastAsia="Times New Roman" w:hAnsi="Times New Roman"/>
            <w:color w:val="1155cc"/>
            <w:sz w:val="24"/>
            <w:szCs w:val="24"/>
            <w:u w:val="single"/>
            <w:rtl w:val="0"/>
          </w:rPr>
          <w:t xml:space="preserve">https://ykgm.org/index.php/jpm/article/view/413/130</w:t>
        </w:r>
      </w:hyperlink>
      <w:r w:rsidDel="00000000" w:rsidR="00000000" w:rsidRPr="00000000">
        <w:rPr>
          <w:rtl w:val="0"/>
        </w:rPr>
      </w:r>
    </w:p>
    <w:p w:rsidR="00000000" w:rsidDel="00000000" w:rsidP="00000000" w:rsidRDefault="00000000" w:rsidRPr="00000000" w14:paraId="000000FB">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Nurhidayat, E., Mujiyanto, J., Yuliasri, I., &amp; Hartono, R. (2024). </w:t>
      </w:r>
      <w:r w:rsidDel="00000000" w:rsidR="00000000" w:rsidRPr="00000000">
        <w:rPr>
          <w:rFonts w:ascii="Times New Roman" w:cs="Times New Roman" w:eastAsia="Times New Roman" w:hAnsi="Times New Roman"/>
          <w:i w:val="1"/>
          <w:iCs w:val="1"/>
          <w:sz w:val="24"/>
          <w:szCs w:val="24"/>
          <w:rtl w:val="0"/>
        </w:rPr>
        <w:t xml:space="preserve">Technology Integration and Teachers’ Competency in the Development of 21st-Century Learning in EFL Classroom.</w:t>
      </w:r>
      <w:r w:rsidDel="00000000" w:rsidR="00000000" w:rsidRPr="00000000">
        <w:rPr>
          <w:rFonts w:ascii="Times New Roman" w:cs="Times New Roman" w:eastAsia="Times New Roman" w:hAnsi="Times New Roman"/>
          <w:sz w:val="24"/>
          <w:szCs w:val="24"/>
          <w:rtl w:val="0"/>
        </w:rPr>
        <w:t xml:space="preserve"> Journal of Education and Learning (EduLearn). </w:t>
      </w:r>
      <w:hyperlink r:id="rId14">
        <w:r w:rsidDel="00000000" w:rsidR="00000000" w:rsidRPr="00000000">
          <w:rPr>
            <w:rFonts w:ascii="Times New Roman" w:cs="Times New Roman" w:eastAsia="Times New Roman" w:hAnsi="Times New Roman"/>
            <w:color w:val="1155cc"/>
            <w:sz w:val="24"/>
            <w:szCs w:val="24"/>
            <w:u w:val="single"/>
            <w:rtl w:val="0"/>
          </w:rPr>
          <w:t xml:space="preserve">https://doi.org/10.11591/edulearn.v18i2.21069</w:t>
        </w:r>
      </w:hyperlink>
      <w:r w:rsidDel="00000000" w:rsidR="00000000" w:rsidRPr="00000000">
        <w:rPr>
          <w:rtl w:val="0"/>
        </w:rPr>
      </w:r>
    </w:p>
    <w:p w:rsidR="00000000" w:rsidDel="00000000" w:rsidP="00000000" w:rsidRDefault="00000000" w:rsidRPr="00000000" w14:paraId="000000FD">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Tatto, M. T. (2021). </w:t>
      </w:r>
      <w:r w:rsidDel="00000000" w:rsidR="00000000" w:rsidRPr="00000000">
        <w:rPr>
          <w:rFonts w:ascii="Times New Roman" w:cs="Times New Roman" w:eastAsia="Times New Roman" w:hAnsi="Times New Roman"/>
          <w:i w:val="1"/>
          <w:iCs w:val="1"/>
          <w:sz w:val="24"/>
          <w:szCs w:val="24"/>
          <w:rtl w:val="0"/>
        </w:rPr>
        <w:t xml:space="preserve">Professionalism in Teaching and the Role of Teacher Education.</w:t>
      </w:r>
      <w:r w:rsidDel="00000000" w:rsidR="00000000" w:rsidRPr="00000000">
        <w:rPr>
          <w:rFonts w:ascii="Times New Roman" w:cs="Times New Roman" w:eastAsia="Times New Roman" w:hAnsi="Times New Roman"/>
          <w:sz w:val="24"/>
          <w:szCs w:val="24"/>
          <w:rtl w:val="0"/>
        </w:rPr>
        <w:t xml:space="preserve"> European Journal of TeacherEducation, 44(1), 20–44. </w:t>
      </w:r>
      <w:hyperlink r:id="rId15">
        <w:r w:rsidDel="00000000" w:rsidR="00000000" w:rsidRPr="00000000">
          <w:rPr>
            <w:rFonts w:ascii="Times New Roman" w:cs="Times New Roman" w:eastAsia="Times New Roman" w:hAnsi="Times New Roman"/>
            <w:color w:val="1155cc"/>
            <w:sz w:val="24"/>
            <w:szCs w:val="24"/>
            <w:u w:val="single"/>
            <w:rtl w:val="0"/>
          </w:rPr>
          <w:t xml:space="preserve">https://doi.org/10.1080/02619768.2020.1849130</w:t>
        </w:r>
      </w:hyperlink>
      <w:r w:rsidDel="00000000" w:rsidR="00000000" w:rsidRPr="00000000">
        <w:rPr>
          <w:rtl w:val="0"/>
        </w:rPr>
      </w:r>
    </w:p>
    <w:p w:rsidR="00000000" w:rsidDel="00000000" w:rsidP="00000000" w:rsidRDefault="00000000" w:rsidRPr="00000000" w14:paraId="000000FF">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Chaudhary, M. K., &amp; Chaudhary, R. K. (2022). </w:t>
      </w:r>
      <w:r w:rsidDel="00000000" w:rsidR="00000000" w:rsidRPr="00000000">
        <w:rPr>
          <w:rFonts w:ascii="Times New Roman" w:cs="Times New Roman" w:eastAsia="Times New Roman" w:hAnsi="Times New Roman"/>
          <w:i w:val="1"/>
          <w:iCs w:val="1"/>
          <w:sz w:val="24"/>
          <w:szCs w:val="24"/>
          <w:rtl w:val="0"/>
        </w:rPr>
        <w:t xml:space="preserve">Online Learning Experience in Nepal: An Observation during Covid-19 Pandemic.</w:t>
      </w:r>
      <w:r w:rsidDel="00000000" w:rsidR="00000000" w:rsidRPr="00000000">
        <w:rPr>
          <w:rFonts w:ascii="Times New Roman" w:cs="Times New Roman" w:eastAsia="Times New Roman" w:hAnsi="Times New Roman"/>
          <w:sz w:val="24"/>
          <w:szCs w:val="24"/>
          <w:rtl w:val="0"/>
        </w:rPr>
        <w:t xml:space="preserve"> International Research Journal of MMC, 3(3), 34–43. </w:t>
      </w:r>
      <w:hyperlink r:id="rId16">
        <w:r w:rsidDel="00000000" w:rsidR="00000000" w:rsidRPr="00000000">
          <w:rPr>
            <w:rFonts w:ascii="Times New Roman" w:cs="Times New Roman" w:eastAsia="Times New Roman" w:hAnsi="Times New Roman"/>
            <w:color w:val="1155cc"/>
            <w:sz w:val="24"/>
            <w:szCs w:val="24"/>
            <w:u w:val="single"/>
            <w:rtl w:val="0"/>
          </w:rPr>
          <w:t xml:space="preserve">https://doi.org/10.3126/irjmmc.v3i3.48631</w:t>
        </w:r>
      </w:hyperlink>
      <w:r w:rsidDel="00000000" w:rsidR="00000000" w:rsidRPr="00000000">
        <w:rPr>
          <w:rtl w:val="0"/>
        </w:rPr>
      </w:r>
    </w:p>
    <w:p w:rsidR="00000000" w:rsidDel="00000000" w:rsidP="00000000" w:rsidRDefault="00000000" w:rsidRPr="00000000" w14:paraId="00000101">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 Z., &amp; Venketsamy, R. (2022). </w:t>
      </w:r>
      <w:r w:rsidDel="00000000" w:rsidR="00000000" w:rsidRPr="00000000">
        <w:rPr>
          <w:rFonts w:ascii="Times New Roman" w:cs="Times New Roman" w:eastAsia="Times New Roman" w:hAnsi="Times New Roman"/>
          <w:i w:val="1"/>
          <w:iCs w:val="1"/>
          <w:sz w:val="24"/>
          <w:szCs w:val="24"/>
          <w:rtl w:val="0"/>
        </w:rPr>
        <w:t xml:space="preserve">Exploring Students’ Views on Clinical Simulation in the Acupuncture Programme at a South African University.</w:t>
      </w:r>
      <w:r w:rsidDel="00000000" w:rsidR="00000000" w:rsidRPr="00000000">
        <w:rPr>
          <w:rFonts w:ascii="Times New Roman" w:cs="Times New Roman" w:eastAsia="Times New Roman" w:hAnsi="Times New Roman"/>
          <w:sz w:val="24"/>
          <w:szCs w:val="24"/>
          <w:rtl w:val="0"/>
        </w:rPr>
        <w:t xml:space="preserve"> Journal for the Education of Gifted Young Scientists, 10(2), 251-263. </w:t>
      </w:r>
      <w:hyperlink r:id="rId17">
        <w:r w:rsidDel="00000000" w:rsidR="00000000" w:rsidRPr="00000000">
          <w:rPr>
            <w:rFonts w:ascii="Times New Roman" w:cs="Times New Roman" w:eastAsia="Times New Roman" w:hAnsi="Times New Roman"/>
            <w:color w:val="1155cc"/>
            <w:sz w:val="24"/>
            <w:szCs w:val="24"/>
            <w:u w:val="single"/>
            <w:rtl w:val="0"/>
          </w:rPr>
          <w:t xml:space="preserve">https://doi.org/10.17478/jegys.1092471</w:t>
        </w:r>
      </w:hyperlink>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9" w:w="11907" w:orient="portrait"/>
      <w:pgMar w:bottom="1474" w:top="1559" w:left="1418" w:right="1418" w:header="85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Limelight">
    <w:embedRegular w:fontKey="{00000000-0000-0000-0000-000000000000}" r:id="rId1" w:subsetted="0"/>
  </w:font>
  <w:font w:name="Overlock">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i w:val="1"/>
        <w:iCs w:val="1"/>
        <w:rtl w:val="0"/>
      </w:rPr>
      <w:t xml:space="preserve">Exploring Undergraduate Students’ Challenges in Online Learning: Insights from the Media and ICT Course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Exploring Undergraduate Students’ Challenges in Online Learning: Insights from the Media and ICT Course</w:t>
    </w:r>
    <w:r w:rsidDel="00000000" w:rsidR="00000000" w:rsidRPr="00000000">
      <w:rPr>
        <w:i w:val="1"/>
        <w:iCs w:val="1"/>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i w:val="1"/>
        <w:iCs w:val="1"/>
        <w:rtl w:val="0"/>
      </w:rPr>
      <w:t xml:space="preserve">Exploring Undergraduate Students’ Challenges in Online Learning: Insights from the Media and ICT Course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9" w:firstLine="288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w:t>
    </w:r>
    <w:r w:rsidDel="00000000" w:rsidR="00000000" w:rsidRPr="00000000">
      <w:rPr>
        <w:rFonts w:ascii="Times New Roman" w:cs="Times New Roman" w:eastAsia="Times New Roman" w:hAnsi="Times New Roman"/>
        <w:i w:val="1"/>
        <w:iCs w:val="1"/>
        <w:rtl w:val="0"/>
      </w:rPr>
      <w:t xml:space="preserve">26</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4443095</wp:posOffset>
          </wp:positionH>
          <wp:positionV relativeFrom="paragraph">
            <wp:posOffset>-226055</wp:posOffset>
          </wp:positionV>
          <wp:extent cx="1285875" cy="542925"/>
          <wp:effectExtent b="0" l="0" r="0" t="0"/>
          <wp:wrapNone/>
          <wp:docPr id="1"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spacing w:after="0" w:line="240" w:lineRule="auto"/>
      <w:ind w:right="360" w:firstLine="360"/>
      <w:rPr>
        <w:rFonts w:ascii="Limelight" w:cs="Limelight" w:eastAsia="Limelight" w:hAnsi="Limelight"/>
        <w:b w:val="1"/>
        <w:bCs w:val="1"/>
        <w:color w:val="943734"/>
      </w:rPr>
    </w:pPr>
    <w:bookmarkStart w:colFirst="0" w:colLast="0" w:name="_heading=h.69szy87507hz" w:id="0"/>
    <w:bookmarkEnd w:id="0"/>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color w:val="943734"/>
        <w:rtl w:val="0"/>
      </w:rPr>
      <w:t xml:space="preserve">          </w:t>
    </w:r>
    <w:r w:rsidDel="00000000" w:rsidR="00000000" w:rsidRPr="00000000">
      <w:rPr>
        <w:rFonts w:ascii="Limelight" w:cs="Limelight" w:eastAsia="Limelight" w:hAnsi="Limelight"/>
        <w:b w:val="1"/>
        <w:bCs w:val="1"/>
        <w:color w:val="943734"/>
        <w:rtl w:val="0"/>
      </w:rPr>
      <w:t xml:space="preserve">PROJECT</w:t>
    </w:r>
    <w:r w:rsidDel="00000000" w:rsidR="00000000" w:rsidRPr="00000000">
      <w:drawing>
        <wp:anchor allowOverlap="1" behindDoc="1" distB="0" distT="0" distL="0" distR="0" hidden="0" layoutInCell="1" locked="0" relativeHeight="0" simplePos="0">
          <wp:simplePos x="0" y="0"/>
          <wp:positionH relativeFrom="column">
            <wp:posOffset>-214623</wp:posOffset>
          </wp:positionH>
          <wp:positionV relativeFrom="paragraph">
            <wp:posOffset>-26030</wp:posOffset>
          </wp:positionV>
          <wp:extent cx="1409700" cy="542925"/>
          <wp:effectExtent b="0" l="0" r="0" t="0"/>
          <wp:wrapNone/>
          <wp:docPr id="2"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409700" cy="542925"/>
                  </a:xfrm>
                  <a:prstGeom prst="rect"/>
                  <a:ln/>
                </pic:spPr>
              </pic:pic>
            </a:graphicData>
          </a:graphic>
        </wp:anchor>
      </w:drawing>
    </w:r>
  </w:p>
  <w:p w:rsidR="00000000" w:rsidDel="00000000" w:rsidP="00000000" w:rsidRDefault="00000000" w:rsidRPr="00000000" w14:paraId="00000105">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943734"/>
        <w:rtl w:val="0"/>
      </w:rPr>
      <w:tab/>
    </w:r>
    <w:r w:rsidDel="00000000" w:rsidR="00000000" w:rsidRPr="00000000">
      <w:rPr>
        <w:rFonts w:ascii="Overlock" w:cs="Overlock" w:eastAsia="Overlock" w:hAnsi="Overlock"/>
        <w:b w:val="1"/>
        <w:bCs w:val="1"/>
        <w:color w:val="943734"/>
        <w:rtl w:val="0"/>
      </w:rPr>
      <w:t xml:space="preserve">(Professional Journal of English Education)</w:t>
    </w:r>
    <w:r w:rsidDel="00000000" w:rsidR="00000000" w:rsidRPr="00000000">
      <w:rPr>
        <w:rFonts w:ascii="Overlock" w:cs="Overlock" w:eastAsia="Overlock" w:hAnsi="Overlock"/>
        <w:color w:val="943734"/>
        <w:rtl w:val="0"/>
      </w:rPr>
      <w:tab/>
    </w:r>
    <w:r w:rsidDel="00000000" w:rsidR="00000000" w:rsidRPr="00000000">
      <w:rPr>
        <w:rFonts w:ascii="Times New Roman" w:cs="Times New Roman" w:eastAsia="Times New Roman" w:hAnsi="Times New Roman"/>
        <w:rtl w:val="0"/>
      </w:rPr>
      <w:tab/>
      <w:t xml:space="preserve">p–ISSN 0000-0000</w:t>
    </w:r>
  </w:p>
  <w:p w:rsidR="00000000" w:rsidDel="00000000" w:rsidP="00000000" w:rsidRDefault="00000000" w:rsidRPr="00000000" w14:paraId="00000106">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Volume X, No. 29, June 2026</w:t>
      <w:tab/>
      <w:tab/>
      <w:tab/>
      <w:tab/>
      <w:t xml:space="preserve">e–ISSN 0000-0000</w:t>
    </w:r>
  </w:p>
  <w:p w:rsidR="00000000" w:rsidDel="00000000" w:rsidP="00000000" w:rsidRDefault="00000000" w:rsidRPr="00000000" w14:paraId="00000107">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566" w:firstLine="21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w:t>
    </w:r>
    <w:r w:rsidDel="00000000" w:rsidR="00000000" w:rsidRPr="00000000">
      <w:rPr>
        <w:rFonts w:ascii="Times New Roman" w:cs="Times New Roman" w:eastAsia="Times New Roman" w:hAnsi="Times New Roman"/>
        <w:i w:val="1"/>
        <w:iCs w:val="1"/>
        <w:rtl w:val="0"/>
      </w:rPr>
      <w:t xml:space="preserve">2026</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-34308</wp:posOffset>
          </wp:positionH>
          <wp:positionV relativeFrom="paragraph">
            <wp:posOffset>-226055</wp:posOffset>
          </wp:positionV>
          <wp:extent cx="1285875" cy="542925"/>
          <wp:effectExtent b="0" l="0" r="0" t="0"/>
          <wp:wrapNone/>
          <wp:docPr id="3"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imes New Roman" w:cs="Times New Roman" w:eastAsia="Times New Roman" w:hAnsi="Times New Roman"/>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doi.org/10.25134/ijli.v7i2.10943" TargetMode="External"/><Relationship Id="rId22" Type="http://schemas.openxmlformats.org/officeDocument/2006/relationships/footer" Target="footer2.xml"/><Relationship Id="rId10" Type="http://schemas.openxmlformats.org/officeDocument/2006/relationships/hyperlink" Target="https://doi.org/10.24903/sj.v10i1.2000" TargetMode="External"/><Relationship Id="rId21" Type="http://schemas.openxmlformats.org/officeDocument/2006/relationships/footer" Target="footer1.xml"/><Relationship Id="rId13" Type="http://schemas.openxmlformats.org/officeDocument/2006/relationships/hyperlink" Target="https://ykgm.org/index.php/jpm/article/view/413/130" TargetMode="External"/><Relationship Id="rId12" Type="http://schemas.openxmlformats.org/officeDocument/2006/relationships/hyperlink" Target="https://share.google/GQRZWBuhqwrlqlVGX" TargetMode="External"/><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2yanuarti@ikipsiliwangi.ac.id" TargetMode="External"/><Relationship Id="rId15" Type="http://schemas.openxmlformats.org/officeDocument/2006/relationships/hyperlink" Target="https://doi.org/10.1080/02619768.2020.1849130" TargetMode="External"/><Relationship Id="rId14" Type="http://schemas.openxmlformats.org/officeDocument/2006/relationships/hyperlink" Target="https://doi.org/10.11591/edulearn.v18i2.21069" TargetMode="External"/><Relationship Id="rId17" Type="http://schemas.openxmlformats.org/officeDocument/2006/relationships/hyperlink" Target="https://doi.org/10.17478/jegys.1092471" TargetMode="External"/><Relationship Id="rId16" Type="http://schemas.openxmlformats.org/officeDocument/2006/relationships/hyperlink" Target="https://doi.org/10.3126/irjmmc.v3i3.48631"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mailto:hasni6814@gmail.com" TargetMode="External"/><Relationship Id="rId8" Type="http://schemas.openxmlformats.org/officeDocument/2006/relationships/hyperlink" Target="mailto:2yanuarti@ikipsiliwangi.ac.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Overlock-regular.ttf"/><Relationship Id="rId3" Type="http://schemas.openxmlformats.org/officeDocument/2006/relationships/font" Target="fonts/Overlock-bold.ttf"/><Relationship Id="rId4" Type="http://schemas.openxmlformats.org/officeDocument/2006/relationships/font" Target="fonts/Overlock-italic.ttf"/><Relationship Id="rId5" Type="http://schemas.openxmlformats.org/officeDocument/2006/relationships/font" Target="fonts/Overloc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CF0F7DLtaxe1zLPfpxeF5h2Xxg==">CgMxLjAyDmguNjlzenk4NzUwN2h6OAByITF2YTVqTUh3Z2U4amMxZ0VRWDZOd1JEb0NDWFphbkQxQw==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